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0A" w:rsidRPr="0003746D" w:rsidRDefault="00A16F0A" w:rsidP="00A16F0A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3746D">
        <w:rPr>
          <w:rFonts w:ascii="Times New Roman" w:hAnsi="Times New Roman"/>
          <w:b/>
          <w:sz w:val="28"/>
          <w:szCs w:val="28"/>
        </w:rPr>
        <w:t>Мониторинг обращений граждан, поступивши</w:t>
      </w:r>
      <w:r>
        <w:rPr>
          <w:rFonts w:ascii="Times New Roman" w:hAnsi="Times New Roman"/>
          <w:b/>
          <w:sz w:val="28"/>
          <w:szCs w:val="28"/>
        </w:rPr>
        <w:t xml:space="preserve">х в Министерство образования и науки </w:t>
      </w:r>
      <w:r w:rsidRPr="0003746D">
        <w:rPr>
          <w:rFonts w:ascii="Times New Roman" w:hAnsi="Times New Roman"/>
          <w:b/>
          <w:sz w:val="28"/>
          <w:szCs w:val="28"/>
        </w:rPr>
        <w:t xml:space="preserve"> Камчатского края в первом полугодии 201</w:t>
      </w:r>
      <w:r>
        <w:rPr>
          <w:rFonts w:ascii="Times New Roman" w:hAnsi="Times New Roman"/>
          <w:b/>
          <w:sz w:val="28"/>
          <w:szCs w:val="28"/>
        </w:rPr>
        <w:t>6</w:t>
      </w:r>
      <w:r w:rsidRPr="0003746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A16F0A" w:rsidRDefault="00A16F0A" w:rsidP="00A16F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Министерство образования и науки </w:t>
      </w:r>
      <w:r w:rsidRPr="003C11F2">
        <w:rPr>
          <w:rFonts w:ascii="Times New Roman" w:hAnsi="Times New Roman"/>
          <w:sz w:val="28"/>
          <w:szCs w:val="28"/>
        </w:rPr>
        <w:t xml:space="preserve"> Камчатск</w:t>
      </w:r>
      <w:r>
        <w:rPr>
          <w:rFonts w:ascii="Times New Roman" w:hAnsi="Times New Roman"/>
          <w:sz w:val="28"/>
          <w:szCs w:val="28"/>
        </w:rPr>
        <w:t>ого края в первом полугодии 2016</w:t>
      </w:r>
      <w:r w:rsidRPr="003C11F2">
        <w:rPr>
          <w:rFonts w:ascii="Times New Roman" w:hAnsi="Times New Roman"/>
          <w:sz w:val="28"/>
          <w:szCs w:val="28"/>
        </w:rPr>
        <w:t xml:space="preserve"> года поступило </w:t>
      </w:r>
      <w:r>
        <w:rPr>
          <w:rFonts w:ascii="Times New Roman" w:hAnsi="Times New Roman"/>
          <w:sz w:val="28"/>
          <w:szCs w:val="28"/>
        </w:rPr>
        <w:t>271 обращение</w:t>
      </w:r>
      <w:r w:rsidRPr="003C11F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За аналогичный период 2015 года поступило 336 </w:t>
      </w:r>
      <w:r w:rsidRPr="00667F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обращений граждан,</w:t>
      </w:r>
      <w:r w:rsidRPr="009F554C">
        <w:t xml:space="preserve"> </w:t>
      </w:r>
      <w:r w:rsidRPr="009F554C">
        <w:rPr>
          <w:rFonts w:ascii="Times New Roman" w:hAnsi="Times New Roman"/>
          <w:sz w:val="28"/>
          <w:szCs w:val="28"/>
        </w:rPr>
        <w:t xml:space="preserve">что на </w:t>
      </w:r>
      <w:r>
        <w:rPr>
          <w:rFonts w:ascii="Times New Roman" w:hAnsi="Times New Roman"/>
          <w:sz w:val="28"/>
          <w:szCs w:val="28"/>
        </w:rPr>
        <w:t>65</w:t>
      </w:r>
      <w:r w:rsidRPr="009F554C">
        <w:rPr>
          <w:rFonts w:ascii="Times New Roman" w:hAnsi="Times New Roman"/>
          <w:sz w:val="28"/>
          <w:szCs w:val="28"/>
        </w:rPr>
        <w:t xml:space="preserve"> обращений </w:t>
      </w:r>
      <w:r>
        <w:rPr>
          <w:rFonts w:ascii="Times New Roman" w:hAnsi="Times New Roman"/>
          <w:sz w:val="28"/>
          <w:szCs w:val="28"/>
        </w:rPr>
        <w:t xml:space="preserve">меньше </w:t>
      </w:r>
      <w:r w:rsidRPr="009F554C">
        <w:rPr>
          <w:rFonts w:ascii="Times New Roman" w:hAnsi="Times New Roman"/>
          <w:sz w:val="28"/>
          <w:szCs w:val="28"/>
        </w:rPr>
        <w:t>данн</w:t>
      </w:r>
      <w:r w:rsidR="00847BB1">
        <w:rPr>
          <w:rFonts w:ascii="Times New Roman" w:hAnsi="Times New Roman"/>
          <w:sz w:val="28"/>
          <w:szCs w:val="28"/>
        </w:rPr>
        <w:t>ого показателя</w:t>
      </w:r>
      <w:r w:rsidRPr="009F554C">
        <w:rPr>
          <w:rFonts w:ascii="Times New Roman" w:hAnsi="Times New Roman"/>
          <w:sz w:val="28"/>
          <w:szCs w:val="28"/>
        </w:rPr>
        <w:t xml:space="preserve"> за I полугодие 201</w:t>
      </w:r>
      <w:r>
        <w:rPr>
          <w:rFonts w:ascii="Times New Roman" w:hAnsi="Times New Roman"/>
          <w:sz w:val="28"/>
          <w:szCs w:val="28"/>
        </w:rPr>
        <w:t>6</w:t>
      </w:r>
      <w:r w:rsidRPr="009F554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9F554C">
        <w:rPr>
          <w:rFonts w:ascii="Times New Roman" w:hAnsi="Times New Roman"/>
          <w:sz w:val="28"/>
          <w:szCs w:val="28"/>
        </w:rPr>
        <w:t xml:space="preserve">. </w:t>
      </w:r>
    </w:p>
    <w:p w:rsidR="002B215C" w:rsidRDefault="002B215C" w:rsidP="002B215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F0A" w:rsidRDefault="00A16F0A" w:rsidP="002B215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F0A" w:rsidRDefault="00847BB1" w:rsidP="002B215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47BB1">
        <w:rPr>
          <w:noProof/>
          <w:lang w:eastAsia="ru-RU"/>
        </w:rPr>
        <w:drawing>
          <wp:inline distT="0" distB="0" distL="0" distR="0" wp14:anchorId="706145A4" wp14:editId="5EB9AA40">
            <wp:extent cx="5838825" cy="36576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16F0A" w:rsidRDefault="00A16F0A" w:rsidP="002B215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F0A" w:rsidRDefault="00A16F0A" w:rsidP="002B215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F0A" w:rsidRDefault="00A16F0A" w:rsidP="002B215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16F0A" w:rsidRDefault="00A16F0A" w:rsidP="002B215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47BB1" w:rsidRDefault="00847BB1" w:rsidP="00847B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92AB6">
        <w:rPr>
          <w:rFonts w:ascii="Times New Roman" w:hAnsi="Times New Roman"/>
          <w:sz w:val="28"/>
          <w:szCs w:val="28"/>
        </w:rPr>
        <w:t xml:space="preserve">Все обращения </w:t>
      </w:r>
      <w:r>
        <w:rPr>
          <w:rFonts w:ascii="Times New Roman" w:hAnsi="Times New Roman"/>
          <w:sz w:val="28"/>
          <w:szCs w:val="28"/>
        </w:rPr>
        <w:t xml:space="preserve">граждан, поступившие в Министерство образования и науки Камчатского края, </w:t>
      </w:r>
      <w:r w:rsidRPr="00B92AB6">
        <w:rPr>
          <w:rFonts w:ascii="Times New Roman" w:hAnsi="Times New Roman"/>
          <w:sz w:val="28"/>
          <w:szCs w:val="28"/>
        </w:rPr>
        <w:t>были рассмотрены</w:t>
      </w:r>
      <w:r>
        <w:rPr>
          <w:rFonts w:ascii="Times New Roman" w:hAnsi="Times New Roman"/>
          <w:sz w:val="28"/>
          <w:szCs w:val="28"/>
        </w:rPr>
        <w:t xml:space="preserve"> в установленные сроки из них:</w:t>
      </w:r>
    </w:p>
    <w:p w:rsidR="00847BB1" w:rsidRPr="00847BB1" w:rsidRDefault="00A55CD7" w:rsidP="00847BB1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разъяснено</w:t>
      </w:r>
      <w:r w:rsidR="00847BB1" w:rsidRPr="00847BB1">
        <w:rPr>
          <w:rFonts w:ascii="Times New Roman" w:hAnsi="Times New Roman"/>
          <w:sz w:val="28"/>
          <w:szCs w:val="28"/>
        </w:rPr>
        <w:t xml:space="preserve"> – 228;</w:t>
      </w:r>
    </w:p>
    <w:p w:rsidR="00847BB1" w:rsidRPr="00847BB1" w:rsidRDefault="00847BB1" w:rsidP="00847BB1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847BB1">
        <w:rPr>
          <w:rFonts w:ascii="Times New Roman" w:hAnsi="Times New Roman"/>
          <w:sz w:val="28"/>
          <w:szCs w:val="28"/>
        </w:rPr>
        <w:t>еры приняты – 4;</w:t>
      </w:r>
    </w:p>
    <w:p w:rsidR="00847BB1" w:rsidRPr="00847BB1" w:rsidRDefault="00A55CD7" w:rsidP="00847BB1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решено</w:t>
      </w:r>
      <w:r w:rsidR="00847BB1" w:rsidRPr="00847BB1">
        <w:rPr>
          <w:rFonts w:ascii="Times New Roman" w:hAnsi="Times New Roman"/>
          <w:sz w:val="28"/>
          <w:szCs w:val="28"/>
        </w:rPr>
        <w:t xml:space="preserve"> </w:t>
      </w:r>
      <w:r w:rsidR="00847BB1">
        <w:rPr>
          <w:rFonts w:ascii="Times New Roman" w:hAnsi="Times New Roman"/>
          <w:sz w:val="28"/>
          <w:szCs w:val="28"/>
        </w:rPr>
        <w:t>–</w:t>
      </w:r>
      <w:r w:rsidR="00847BB1" w:rsidRPr="00847BB1">
        <w:rPr>
          <w:rFonts w:ascii="Times New Roman" w:hAnsi="Times New Roman"/>
          <w:sz w:val="28"/>
          <w:szCs w:val="28"/>
        </w:rPr>
        <w:t xml:space="preserve"> 17</w:t>
      </w:r>
      <w:r w:rsidR="00847BB1">
        <w:rPr>
          <w:rFonts w:ascii="Times New Roman" w:hAnsi="Times New Roman"/>
          <w:sz w:val="28"/>
          <w:szCs w:val="28"/>
        </w:rPr>
        <w:t>.</w:t>
      </w:r>
    </w:p>
    <w:p w:rsidR="00847BB1" w:rsidRPr="00B92AB6" w:rsidRDefault="00847BB1" w:rsidP="00847BB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</w:t>
      </w:r>
      <w:r w:rsidR="005F58D3">
        <w:rPr>
          <w:rFonts w:ascii="Times New Roman" w:hAnsi="Times New Roman"/>
          <w:sz w:val="28"/>
          <w:szCs w:val="28"/>
        </w:rPr>
        <w:t xml:space="preserve">на все обращения </w:t>
      </w:r>
      <w:r w:rsidRPr="00B92AB6">
        <w:rPr>
          <w:rFonts w:ascii="Times New Roman" w:hAnsi="Times New Roman"/>
          <w:sz w:val="28"/>
          <w:szCs w:val="28"/>
        </w:rPr>
        <w:t>направлены письменные ответы</w:t>
      </w:r>
      <w:r w:rsidR="005F58D3">
        <w:rPr>
          <w:rFonts w:ascii="Times New Roman" w:hAnsi="Times New Roman"/>
          <w:sz w:val="28"/>
          <w:szCs w:val="28"/>
        </w:rPr>
        <w:t xml:space="preserve">, </w:t>
      </w:r>
      <w:r w:rsidRPr="00B92AB6">
        <w:rPr>
          <w:rFonts w:ascii="Times New Roman" w:hAnsi="Times New Roman"/>
          <w:sz w:val="28"/>
          <w:szCs w:val="28"/>
        </w:rPr>
        <w:t xml:space="preserve"> проведены комплексные проверки.</w:t>
      </w:r>
    </w:p>
    <w:p w:rsidR="00A16F0A" w:rsidRDefault="00A16F0A" w:rsidP="002B215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58D3" w:rsidRDefault="005F58D3" w:rsidP="005F58D3">
      <w:pPr>
        <w:spacing w:after="0"/>
        <w:rPr>
          <w:rFonts w:ascii="Times New Roman" w:hAnsi="Times New Roman"/>
          <w:sz w:val="28"/>
          <w:szCs w:val="28"/>
        </w:rPr>
      </w:pPr>
    </w:p>
    <w:p w:rsidR="00891DBC" w:rsidRDefault="00891DBC" w:rsidP="001D5318">
      <w:pPr>
        <w:ind w:right="-1"/>
      </w:pPr>
    </w:p>
    <w:p w:rsidR="008746B5" w:rsidRDefault="008746B5" w:rsidP="008746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746B5" w:rsidRPr="001D5318" w:rsidRDefault="008746B5" w:rsidP="008746B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D5318">
        <w:rPr>
          <w:rFonts w:ascii="Times New Roman" w:hAnsi="Times New Roman"/>
          <w:sz w:val="28"/>
          <w:szCs w:val="28"/>
        </w:rPr>
        <w:lastRenderedPageBreak/>
        <w:t>По тематике обращений</w:t>
      </w:r>
    </w:p>
    <w:p w:rsidR="008746B5" w:rsidRPr="001D5318" w:rsidRDefault="008746B5" w:rsidP="008746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D5318">
        <w:rPr>
          <w:rFonts w:ascii="Times New Roman" w:hAnsi="Times New Roman"/>
          <w:sz w:val="28"/>
          <w:szCs w:val="28"/>
        </w:rPr>
        <w:t>(в сравнении с соответствующим периодом 2015 года)</w:t>
      </w:r>
    </w:p>
    <w:p w:rsidR="008746B5" w:rsidRDefault="008746B5" w:rsidP="008746B5">
      <w:pPr>
        <w:jc w:val="center"/>
        <w:rPr>
          <w:rFonts w:ascii="Times New Roman" w:hAnsi="Times New Roman"/>
          <w:sz w:val="28"/>
          <w:szCs w:val="28"/>
        </w:rPr>
      </w:pPr>
    </w:p>
    <w:p w:rsidR="008746B5" w:rsidRPr="008746B5" w:rsidRDefault="008746B5" w:rsidP="008746B5">
      <w:pPr>
        <w:ind w:left="-851" w:right="-426"/>
      </w:pPr>
      <w:r>
        <w:rPr>
          <w:noProof/>
          <w:lang w:eastAsia="ru-RU"/>
        </w:rPr>
        <w:drawing>
          <wp:inline distT="0" distB="0" distL="0" distR="0" wp14:anchorId="66E8FC6C" wp14:editId="13289F7E">
            <wp:extent cx="6572250" cy="90678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7259" w:rsidRPr="005F58D3" w:rsidRDefault="005F58D3" w:rsidP="005F58D3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5F58D3">
        <w:rPr>
          <w:rFonts w:ascii="Times New Roman" w:hAnsi="Times New Roman"/>
          <w:sz w:val="28"/>
          <w:szCs w:val="28"/>
        </w:rPr>
        <w:lastRenderedPageBreak/>
        <w:t>Обращения</w:t>
      </w:r>
      <w:r>
        <w:rPr>
          <w:rFonts w:ascii="Times New Roman" w:hAnsi="Times New Roman"/>
          <w:sz w:val="28"/>
          <w:szCs w:val="28"/>
        </w:rPr>
        <w:t>,</w:t>
      </w:r>
      <w:r w:rsidRPr="005F58D3">
        <w:rPr>
          <w:rFonts w:ascii="Times New Roman" w:hAnsi="Times New Roman"/>
          <w:sz w:val="28"/>
          <w:szCs w:val="28"/>
        </w:rPr>
        <w:t xml:space="preserve"> поступившие в I полугодии 2016 года по сравнению с обращениями, поступившими в I полугодии 2015 года, с распределением по районам Камчатского края</w:t>
      </w:r>
    </w:p>
    <w:bookmarkEnd w:id="0"/>
    <w:p w:rsidR="00B92AB6" w:rsidRDefault="00D17FB6" w:rsidP="00B92AB6">
      <w:r>
        <w:rPr>
          <w:noProof/>
          <w:lang w:eastAsia="ru-RU"/>
        </w:rPr>
        <w:drawing>
          <wp:inline distT="0" distB="0" distL="0" distR="0" wp14:anchorId="5A24924F" wp14:editId="480DB7EA">
            <wp:extent cx="5810250" cy="799147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92AB6" w:rsidRDefault="00B92AB6" w:rsidP="00B92AB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7259" w:rsidRPr="00B92AB6" w:rsidRDefault="00A07259" w:rsidP="00B92AB6">
      <w:pPr>
        <w:tabs>
          <w:tab w:val="left" w:pos="5415"/>
        </w:tabs>
      </w:pPr>
    </w:p>
    <w:sectPr w:rsidR="00A07259" w:rsidRPr="00B92AB6" w:rsidSect="008746B5">
      <w:pgSz w:w="11906" w:h="16838"/>
      <w:pgMar w:top="53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D73" w:rsidRDefault="00897D73" w:rsidP="002328AD">
      <w:pPr>
        <w:spacing w:after="0" w:line="240" w:lineRule="auto"/>
      </w:pPr>
      <w:r>
        <w:separator/>
      </w:r>
    </w:p>
  </w:endnote>
  <w:endnote w:type="continuationSeparator" w:id="0">
    <w:p w:rsidR="00897D73" w:rsidRDefault="00897D73" w:rsidP="00232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D73" w:rsidRDefault="00897D73" w:rsidP="002328AD">
      <w:pPr>
        <w:spacing w:after="0" w:line="240" w:lineRule="auto"/>
      </w:pPr>
      <w:r>
        <w:separator/>
      </w:r>
    </w:p>
  </w:footnote>
  <w:footnote w:type="continuationSeparator" w:id="0">
    <w:p w:rsidR="00897D73" w:rsidRDefault="00897D73" w:rsidP="00232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363FD"/>
    <w:multiLevelType w:val="hybridMultilevel"/>
    <w:tmpl w:val="6376FAAC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15C"/>
    <w:rsid w:val="0007551F"/>
    <w:rsid w:val="000A5830"/>
    <w:rsid w:val="00130820"/>
    <w:rsid w:val="001A4A79"/>
    <w:rsid w:val="001D5318"/>
    <w:rsid w:val="002328AD"/>
    <w:rsid w:val="002B215C"/>
    <w:rsid w:val="005F58D3"/>
    <w:rsid w:val="006A2491"/>
    <w:rsid w:val="006E3099"/>
    <w:rsid w:val="00847BB1"/>
    <w:rsid w:val="008746B5"/>
    <w:rsid w:val="00891DBC"/>
    <w:rsid w:val="00897D73"/>
    <w:rsid w:val="008E658A"/>
    <w:rsid w:val="00A07259"/>
    <w:rsid w:val="00A16F0A"/>
    <w:rsid w:val="00A55CD7"/>
    <w:rsid w:val="00AE6935"/>
    <w:rsid w:val="00B71A27"/>
    <w:rsid w:val="00B92AB6"/>
    <w:rsid w:val="00B96865"/>
    <w:rsid w:val="00BF1DEB"/>
    <w:rsid w:val="00C01B0B"/>
    <w:rsid w:val="00C65188"/>
    <w:rsid w:val="00CA42CB"/>
    <w:rsid w:val="00CF7842"/>
    <w:rsid w:val="00D17FB6"/>
    <w:rsid w:val="00FA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15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3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8A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3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28A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847B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15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3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8A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3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28A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847B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441272858837181"/>
          <c:y val="3.9506233595800522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9258098223615466E-2"/>
          <c:y val="0.20234587343248761"/>
          <c:w val="0.81532298274627901"/>
          <c:h val="0.7383948673082531"/>
        </c:manualLayout>
      </c:layout>
      <c:pie3DChart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 обращений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Pt>
            <c:idx val="0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cat>
            <c:strRef>
              <c:f>Лист1!$A$2:$A$3</c:f>
              <c:strCache>
                <c:ptCount val="2"/>
                <c:pt idx="0">
                  <c:v>2016 год</c:v>
                </c:pt>
                <c:pt idx="1">
                  <c:v>2015 год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271</c:v>
                </c:pt>
                <c:pt idx="1">
                  <c:v>336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egendEntry>
        <c:idx val="1"/>
        <c:txPr>
          <a:bodyPr/>
          <a:lstStyle/>
          <a:p>
            <a:pPr>
              <a:defRPr sz="1460" u="none" kern="2000" baseline="0">
                <a:solidFill>
                  <a:sysClr val="windowText" lastClr="000000"/>
                </a:solidFill>
              </a:defRPr>
            </a:pPr>
            <a:endParaRPr lang="ru-RU"/>
          </a:p>
        </c:txPr>
      </c:legendEntry>
      <c:layout>
        <c:manualLayout>
          <c:xMode val="edge"/>
          <c:yMode val="edge"/>
          <c:x val="0.82005848779506152"/>
          <c:y val="0.68195431126664718"/>
          <c:w val="0.17889232850787615"/>
          <c:h val="0.23349859045397103"/>
        </c:manualLayout>
      </c:layout>
      <c:overlay val="0"/>
      <c:txPr>
        <a:bodyPr/>
        <a:lstStyle/>
        <a:p>
          <a:pPr>
            <a:defRPr sz="1460" kern="2000" baseline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83325345201415"/>
          <c:y val="3.6558150819382872E-2"/>
          <c:w val="0.81235102133972381"/>
          <c:h val="0.4087132490791592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Первое полугодие 2016 года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</c:spPr>
          <c:invertIfNegative val="0"/>
          <c:cat>
            <c:strRef>
              <c:f>Лист1!$A$2:$A$11</c:f>
              <c:strCache>
                <c:ptCount val="10"/>
                <c:pt idx="0">
                  <c:v>Вопросы опеки и попечительства</c:v>
                </c:pt>
                <c:pt idx="1">
                  <c:v>Определение в коррекционные школы</c:v>
                </c:pt>
                <c:pt idx="2">
                  <c:v>Вопросы трудоустройства</c:v>
                </c:pt>
                <c:pt idx="3">
                  <c:v>Единый государственный экзамен</c:v>
                </c:pt>
                <c:pt idx="4">
                  <c:v>Ремонт образовательных учреждений</c:v>
                </c:pt>
                <c:pt idx="5">
                  <c:v>Критика работы образовательных учреждений</c:v>
                </c:pt>
                <c:pt idx="6">
                  <c:v>Конфликтные ситуации в образовательных организациях</c:v>
                </c:pt>
                <c:pt idx="7">
                  <c:v>Предоставление мест в ДОУ и социальных гарантий при получении дошкольного образования. Оплата за них</c:v>
                </c:pt>
                <c:pt idx="8">
                  <c:v>Запросы об архивных данных</c:v>
                </c:pt>
                <c:pt idx="9">
                  <c:v>Другие вопросы Министерства образования и науки Камчатского края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36</c:v>
                </c:pt>
                <c:pt idx="1">
                  <c:v>12</c:v>
                </c:pt>
                <c:pt idx="2">
                  <c:v>12</c:v>
                </c:pt>
                <c:pt idx="3">
                  <c:v>12</c:v>
                </c:pt>
                <c:pt idx="4">
                  <c:v>1</c:v>
                </c:pt>
                <c:pt idx="5">
                  <c:v>13</c:v>
                </c:pt>
                <c:pt idx="6">
                  <c:v>6</c:v>
                </c:pt>
                <c:pt idx="7">
                  <c:v>34</c:v>
                </c:pt>
                <c:pt idx="8">
                  <c:v>9</c:v>
                </c:pt>
                <c:pt idx="9">
                  <c:v>136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Первое полугодие 2015 года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cat>
            <c:strRef>
              <c:f>Лист1!$A$2:$A$11</c:f>
              <c:strCache>
                <c:ptCount val="10"/>
                <c:pt idx="0">
                  <c:v>Вопросы опеки и попечительства</c:v>
                </c:pt>
                <c:pt idx="1">
                  <c:v>Определение в коррекционные школы</c:v>
                </c:pt>
                <c:pt idx="2">
                  <c:v>Вопросы трудоустройства</c:v>
                </c:pt>
                <c:pt idx="3">
                  <c:v>Единый государственный экзамен</c:v>
                </c:pt>
                <c:pt idx="4">
                  <c:v>Ремонт образовательных учреждений</c:v>
                </c:pt>
                <c:pt idx="5">
                  <c:v>Критика работы образовательных учреждений</c:v>
                </c:pt>
                <c:pt idx="6">
                  <c:v>Конфликтные ситуации в образовательных организациях</c:v>
                </c:pt>
                <c:pt idx="7">
                  <c:v>Предоставление мест в ДОУ и социальных гарантий при получении дошкольного образования. Оплата за них</c:v>
                </c:pt>
                <c:pt idx="8">
                  <c:v>Запросы об архивных данных</c:v>
                </c:pt>
                <c:pt idx="9">
                  <c:v>Другие вопросы Министерства образования и науки Камчатского края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26</c:v>
                </c:pt>
                <c:pt idx="1">
                  <c:v>27</c:v>
                </c:pt>
                <c:pt idx="2">
                  <c:v>7</c:v>
                </c:pt>
                <c:pt idx="3">
                  <c:v>2</c:v>
                </c:pt>
                <c:pt idx="4">
                  <c:v>10</c:v>
                </c:pt>
                <c:pt idx="5">
                  <c:v>30</c:v>
                </c:pt>
                <c:pt idx="6">
                  <c:v>31</c:v>
                </c:pt>
                <c:pt idx="7">
                  <c:v>23</c:v>
                </c:pt>
                <c:pt idx="8">
                  <c:v>5</c:v>
                </c:pt>
                <c:pt idx="9">
                  <c:v>175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-25"/>
        <c:axId val="192554496"/>
        <c:axId val="192556032"/>
      </c:barChart>
      <c:catAx>
        <c:axId val="19255449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000" baseline="0">
                <a:latin typeface="Times New Roman" panose="02020603050405020304" pitchFamily="18" charset="0"/>
              </a:defRPr>
            </a:pPr>
            <a:endParaRPr lang="ru-RU"/>
          </a:p>
        </c:txPr>
        <c:crossAx val="192556032"/>
        <c:crosses val="autoZero"/>
        <c:auto val="1"/>
        <c:lblAlgn val="ctr"/>
        <c:lblOffset val="100"/>
        <c:noMultiLvlLbl val="0"/>
      </c:catAx>
      <c:valAx>
        <c:axId val="192556032"/>
        <c:scaling>
          <c:orientation val="minMax"/>
          <c:max val="180"/>
          <c:min val="0"/>
        </c:scaling>
        <c:delete val="0"/>
        <c:axPos val="l"/>
        <c:majorGridlines/>
        <c:numFmt formatCode="#,##0;\-#,##0" sourceLinked="0"/>
        <c:majorTickMark val="none"/>
        <c:minorTickMark val="none"/>
        <c:tickLblPos val="nextTo"/>
        <c:spPr>
          <a:ln w="9525">
            <a:noFill/>
          </a:ln>
        </c:spPr>
        <c:crossAx val="192554496"/>
        <c:crosses val="autoZero"/>
        <c:crossBetween val="between"/>
        <c:majorUnit val="10"/>
      </c:valAx>
    </c:plotArea>
    <c:legend>
      <c:legendPos val="b"/>
      <c:layout>
        <c:manualLayout>
          <c:xMode val="edge"/>
          <c:yMode val="edge"/>
          <c:x val="0.14615375252006543"/>
          <c:y val="0.92438595910805266"/>
          <c:w val="0.8506876640419947"/>
          <c:h val="4.7682127969297952E-2"/>
        </c:manualLayout>
      </c:layout>
      <c:overlay val="0"/>
      <c:txPr>
        <a:bodyPr/>
        <a:lstStyle/>
        <a:p>
          <a:pPr>
            <a:defRPr sz="140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395370250849792"/>
          <c:y val="2.7300432516357987E-2"/>
          <c:w val="0.90822770104556605"/>
          <c:h val="0.656890188304521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Первое полугодие 2016 года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1.311475409836065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Лист1!$A$2:$A$16</c:f>
              <c:strCache>
                <c:ptCount val="15"/>
                <c:pt idx="0">
                  <c:v>Петропавловск-Камчатский</c:v>
                </c:pt>
                <c:pt idx="1">
                  <c:v>Елизово и Елизовский район</c:v>
                </c:pt>
                <c:pt idx="2">
                  <c:v>Усть-Камчатск и Усть-Камчатский район</c:v>
                </c:pt>
                <c:pt idx="3">
                  <c:v>Вилючинск</c:v>
                </c:pt>
                <c:pt idx="4">
                  <c:v>Усть-Большерецкий </c:v>
                </c:pt>
                <c:pt idx="5">
                  <c:v>Соболевский </c:v>
                </c:pt>
                <c:pt idx="6">
                  <c:v>Быстринский</c:v>
                </c:pt>
                <c:pt idx="7">
                  <c:v>Мильковский </c:v>
                </c:pt>
                <c:pt idx="8">
                  <c:v>Алеутский </c:v>
                </c:pt>
                <c:pt idx="9">
                  <c:v>Карагинский</c:v>
                </c:pt>
                <c:pt idx="10">
                  <c:v>Олюторский</c:v>
                </c:pt>
                <c:pt idx="11">
                  <c:v>Тигильский</c:v>
                </c:pt>
                <c:pt idx="12">
                  <c:v>Пенжинский</c:v>
                </c:pt>
                <c:pt idx="13">
                  <c:v>Палана</c:v>
                </c:pt>
                <c:pt idx="14">
                  <c:v>не выбрано (не указано в заявлении)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130</c:v>
                </c:pt>
                <c:pt idx="1">
                  <c:v>39</c:v>
                </c:pt>
                <c:pt idx="2">
                  <c:v>2</c:v>
                </c:pt>
                <c:pt idx="3">
                  <c:v>8</c:v>
                </c:pt>
                <c:pt idx="4">
                  <c:v>6</c:v>
                </c:pt>
                <c:pt idx="5">
                  <c:v>3</c:v>
                </c:pt>
                <c:pt idx="6">
                  <c:v>2</c:v>
                </c:pt>
                <c:pt idx="7">
                  <c:v>4</c:v>
                </c:pt>
                <c:pt idx="8">
                  <c:v>1</c:v>
                </c:pt>
                <c:pt idx="9">
                  <c:v>2</c:v>
                </c:pt>
                <c:pt idx="10">
                  <c:v>2</c:v>
                </c:pt>
                <c:pt idx="11">
                  <c:v>2</c:v>
                </c:pt>
                <c:pt idx="12">
                  <c:v>5</c:v>
                </c:pt>
                <c:pt idx="13">
                  <c:v>2</c:v>
                </c:pt>
                <c:pt idx="14">
                  <c:v>63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Первое полугодие 2015 года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dLbls>
            <c:dLbl>
              <c:idx val="14"/>
              <c:layout>
                <c:manualLayout>
                  <c:x val="1.748633879781420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Лист1!$A$2:$A$16</c:f>
              <c:strCache>
                <c:ptCount val="15"/>
                <c:pt idx="0">
                  <c:v>Петропавловск-Камчатский</c:v>
                </c:pt>
                <c:pt idx="1">
                  <c:v>Елизово и Елизовский район</c:v>
                </c:pt>
                <c:pt idx="2">
                  <c:v>Усть-Камчатск и Усть-Камчатский район</c:v>
                </c:pt>
                <c:pt idx="3">
                  <c:v>Вилючинск</c:v>
                </c:pt>
                <c:pt idx="4">
                  <c:v>Усть-Большерецкий </c:v>
                </c:pt>
                <c:pt idx="5">
                  <c:v>Соболевский </c:v>
                </c:pt>
                <c:pt idx="6">
                  <c:v>Быстринский</c:v>
                </c:pt>
                <c:pt idx="7">
                  <c:v>Мильковский </c:v>
                </c:pt>
                <c:pt idx="8">
                  <c:v>Алеутский </c:v>
                </c:pt>
                <c:pt idx="9">
                  <c:v>Карагинский</c:v>
                </c:pt>
                <c:pt idx="10">
                  <c:v>Олюторский</c:v>
                </c:pt>
                <c:pt idx="11">
                  <c:v>Тигильский</c:v>
                </c:pt>
                <c:pt idx="12">
                  <c:v>Пенжинский</c:v>
                </c:pt>
                <c:pt idx="13">
                  <c:v>Палана</c:v>
                </c:pt>
                <c:pt idx="14">
                  <c:v>не выбрано (не указано в заявлении)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146</c:v>
                </c:pt>
                <c:pt idx="1">
                  <c:v>72</c:v>
                </c:pt>
                <c:pt idx="2">
                  <c:v>14</c:v>
                </c:pt>
                <c:pt idx="3">
                  <c:v>13</c:v>
                </c:pt>
                <c:pt idx="4">
                  <c:v>6</c:v>
                </c:pt>
                <c:pt idx="5">
                  <c:v>1</c:v>
                </c:pt>
                <c:pt idx="6">
                  <c:v>1</c:v>
                </c:pt>
                <c:pt idx="7">
                  <c:v>7</c:v>
                </c:pt>
                <c:pt idx="8">
                  <c:v>0</c:v>
                </c:pt>
                <c:pt idx="9">
                  <c:v>10</c:v>
                </c:pt>
                <c:pt idx="10">
                  <c:v>2</c:v>
                </c:pt>
                <c:pt idx="11">
                  <c:v>6</c:v>
                </c:pt>
                <c:pt idx="12">
                  <c:v>3</c:v>
                </c:pt>
                <c:pt idx="13">
                  <c:v>4</c:v>
                </c:pt>
                <c:pt idx="14">
                  <c:v>51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cylinder"/>
        <c:axId val="197378048"/>
        <c:axId val="197379584"/>
        <c:axId val="0"/>
      </c:bar3DChart>
      <c:catAx>
        <c:axId val="19737804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100" baseline="0"/>
            </a:pPr>
            <a:endParaRPr lang="ru-RU"/>
          </a:p>
        </c:txPr>
        <c:crossAx val="197379584"/>
        <c:crosses val="autoZero"/>
        <c:auto val="1"/>
        <c:lblAlgn val="ctr"/>
        <c:lblOffset val="100"/>
        <c:noMultiLvlLbl val="0"/>
      </c:catAx>
      <c:valAx>
        <c:axId val="197379584"/>
        <c:scaling>
          <c:orientation val="minMax"/>
          <c:max val="150"/>
          <c:min val="0"/>
        </c:scaling>
        <c:delete val="0"/>
        <c:axPos val="l"/>
        <c:numFmt formatCode="General" sourceLinked="1"/>
        <c:majorTickMark val="none"/>
        <c:minorTickMark val="none"/>
        <c:tickLblPos val="nextTo"/>
        <c:crossAx val="197378048"/>
        <c:crosses val="autoZero"/>
        <c:crossBetween val="between"/>
        <c:majorUnit val="10"/>
      </c:valAx>
    </c:plotArea>
    <c:legend>
      <c:legendPos val="b"/>
      <c:layout>
        <c:manualLayout>
          <c:xMode val="edge"/>
          <c:yMode val="edge"/>
          <c:x val="9.0338281485306135E-2"/>
          <c:y val="0.93075909015544689"/>
          <c:w val="0.8605288929047803"/>
          <c:h val="4.8807247658011414E-2"/>
        </c:manualLayout>
      </c:layout>
      <c:overlay val="0"/>
      <c:spPr>
        <a:solidFill>
          <a:schemeClr val="bg1"/>
        </a:solidFill>
      </c:spPr>
      <c:txPr>
        <a:bodyPr/>
        <a:lstStyle/>
        <a:p>
          <a:pPr>
            <a:defRPr sz="140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0.05431</cdr:x>
      <cdr:y>0.25909</cdr:y>
    </cdr:from>
    <cdr:to>
      <cdr:x>0.17343</cdr:x>
      <cdr:y>0.45538</cdr:y>
    </cdr:to>
    <cdr:sp macro="" textlink="">
      <cdr:nvSpPr>
        <cdr:cNvPr id="2" name="Стрелка вправо 1"/>
        <cdr:cNvSpPr/>
      </cdr:nvSpPr>
      <cdr:spPr>
        <a:xfrm xmlns:a="http://schemas.openxmlformats.org/drawingml/2006/main">
          <a:off x="310363" y="959994"/>
          <a:ext cx="680770" cy="727299"/>
        </a:xfrm>
        <a:prstGeom xmlns:a="http://schemas.openxmlformats.org/drawingml/2006/main" prst="rightArrow">
          <a:avLst/>
        </a:prstGeom>
        <a:ln xmlns:a="http://schemas.openxmlformats.org/drawingml/2006/main">
          <a:solidFill>
            <a:schemeClr val="accent2">
              <a:lumMod val="40000"/>
              <a:lumOff val="60000"/>
            </a:schemeClr>
          </a:solidFill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200"/>
            <a:t>  336</a:t>
          </a:r>
        </a:p>
      </cdr:txBody>
    </cdr:sp>
  </cdr:relSizeAnchor>
  <cdr:relSizeAnchor xmlns:cdr="http://schemas.openxmlformats.org/drawingml/2006/chartDrawing">
    <cdr:from>
      <cdr:x>0.74541</cdr:x>
      <cdr:y>0.26989</cdr:y>
    </cdr:from>
    <cdr:to>
      <cdr:x>0.86903</cdr:x>
      <cdr:y>0.48101</cdr:y>
    </cdr:to>
    <cdr:sp macro="" textlink="">
      <cdr:nvSpPr>
        <cdr:cNvPr id="3" name="Стрелка влево 2"/>
        <cdr:cNvSpPr/>
      </cdr:nvSpPr>
      <cdr:spPr>
        <a:xfrm xmlns:a="http://schemas.openxmlformats.org/drawingml/2006/main">
          <a:off x="4259999" y="1000003"/>
          <a:ext cx="706488" cy="782247"/>
        </a:xfrm>
        <a:prstGeom xmlns:a="http://schemas.openxmlformats.org/drawingml/2006/main" prst="leftArrow">
          <a:avLst/>
        </a:prstGeom>
        <a:ln xmlns:a="http://schemas.openxmlformats.org/drawingml/2006/main">
          <a:solidFill>
            <a:schemeClr val="accent2">
              <a:lumMod val="75000"/>
            </a:schemeClr>
          </a:solidFill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200"/>
            <a:t>271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81BD0-13AC-4911-B042-76AD8F66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Царёва Ксения Игоревна</dc:creator>
  <cp:lastModifiedBy>Царёва Ксения Игоревна</cp:lastModifiedBy>
  <cp:revision>10</cp:revision>
  <cp:lastPrinted>2016-10-20T22:50:00Z</cp:lastPrinted>
  <dcterms:created xsi:type="dcterms:W3CDTF">2016-10-20T03:56:00Z</dcterms:created>
  <dcterms:modified xsi:type="dcterms:W3CDTF">2016-10-21T02:05:00Z</dcterms:modified>
</cp:coreProperties>
</file>